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40"/>
          <w:szCs w:val="40"/>
          <w:bdr w:val="none" w:sz="0" w:space="0" w:color="auto" w:frame="1"/>
          <w:lang w:eastAsia="en-GB"/>
        </w:rPr>
        <w:t>Guringai History</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bdr w:val="none" w:sz="0" w:space="0" w:color="auto" w:frame="1"/>
          <w:lang w:eastAsia="en-GB"/>
        </w:rPr>
        <w:t>Spelling variations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Boydell, R. H. Mathews</w:t>
      </w:r>
      <w:r w:rsidRPr="00626779">
        <w:rPr>
          <w:rFonts w:ascii="Arial" w:eastAsia="Times New Roman" w:hAnsi="Arial" w:cs="Arial"/>
          <w:color w:val="201F1E"/>
          <w:sz w:val="20"/>
          <w:szCs w:val="20"/>
          <w:bdr w:val="none" w:sz="0" w:space="0" w:color="auto" w:frame="1"/>
          <w:lang w:eastAsia="en-GB"/>
        </w:rPr>
        <w:t> - Gooringgai, William Scott – Gringai, </w:t>
      </w:r>
      <w:r w:rsidRPr="00626779">
        <w:rPr>
          <w:rFonts w:ascii="Arial" w:eastAsia="Times New Roman" w:hAnsi="Arial" w:cs="Arial"/>
          <w:b/>
          <w:bCs/>
          <w:color w:val="201F1E"/>
          <w:sz w:val="20"/>
          <w:szCs w:val="20"/>
          <w:bdr w:val="none" w:sz="0" w:space="0" w:color="auto" w:frame="1"/>
          <w:lang w:eastAsia="en-GB"/>
        </w:rPr>
        <w:t>John Fraser - </w:t>
      </w:r>
      <w:r w:rsidRPr="00626779">
        <w:rPr>
          <w:rFonts w:ascii="Arial" w:eastAsia="Times New Roman" w:hAnsi="Arial" w:cs="Arial"/>
          <w:color w:val="201F1E"/>
          <w:sz w:val="20"/>
          <w:szCs w:val="20"/>
          <w:bdr w:val="none" w:sz="0" w:space="0" w:color="auto" w:frame="1"/>
          <w:lang w:eastAsia="en-GB"/>
        </w:rPr>
        <w:t>Goringai, Kuringgai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Kurig-gai. Other spellings, Cooringay, Guringai, Gooreeggai, Goreenggai, Gourenggai, Gingai, Gooreenggai, Gringai, Corringorri,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t>
      </w:r>
      <w:r w:rsidRPr="00626779">
        <w:rPr>
          <w:rFonts w:ascii="Arial" w:eastAsia="Times New Roman" w:hAnsi="Arial" w:cs="Arial"/>
          <w:b/>
          <w:bCs/>
          <w:color w:val="201F1E"/>
          <w:sz w:val="20"/>
          <w:szCs w:val="20"/>
          <w:bdr w:val="none" w:sz="0" w:space="0" w:color="auto" w:frame="1"/>
          <w:lang w:eastAsia="en-GB"/>
        </w:rPr>
        <w:t>Amanda Lissarrague- </w:t>
      </w:r>
      <w:r w:rsidRPr="00626779">
        <w:rPr>
          <w:rFonts w:ascii="Arial" w:eastAsia="Times New Roman" w:hAnsi="Arial" w:cs="Arial"/>
          <w:color w:val="201F1E"/>
          <w:sz w:val="20"/>
          <w:szCs w:val="20"/>
          <w:bdr w:val="none" w:sz="0" w:space="0" w:color="auto" w:frame="1"/>
          <w:lang w:eastAsia="en-GB"/>
        </w:rPr>
        <w:t>Guringay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 </w:t>
      </w:r>
    </w:p>
    <w:p w:rsidR="00626779" w:rsidRPr="00626779" w:rsidRDefault="00626779" w:rsidP="00626779">
      <w:pPr>
        <w:jc w:val="center"/>
        <w:rPr>
          <w:rFonts w:ascii="Calibri" w:eastAsia="Times New Roman" w:hAnsi="Calibri" w:cs="Calibri"/>
          <w:color w:val="201F1E"/>
          <w:sz w:val="22"/>
          <w:szCs w:val="22"/>
          <w:lang w:eastAsia="en-GB"/>
        </w:rPr>
      </w:pPr>
      <w:r w:rsidRPr="00626779">
        <w:rPr>
          <w:noProof/>
        </w:rPr>
        <w:drawing>
          <wp:inline distT="0" distB="0" distL="0" distR="0">
            <wp:extent cx="2724150" cy="1797050"/>
            <wp:effectExtent l="0" t="0" r="6350" b="635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797050"/>
                    </a:xfrm>
                    <a:prstGeom prst="rect">
                      <a:avLst/>
                    </a:prstGeom>
                    <a:noFill/>
                    <a:ln>
                      <a:noFill/>
                    </a:ln>
                  </pic:spPr>
                </pic:pic>
              </a:graphicData>
            </a:graphic>
          </wp:inline>
        </w:drawing>
      </w:r>
    </w:p>
    <w:p w:rsidR="00626779" w:rsidRPr="00626779" w:rsidRDefault="00626779" w:rsidP="00626779">
      <w:pPr>
        <w:jc w:val="cente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Brummy Family around 1890 Barrington NSW Aboriginal camp Photo back row left is wife Jessie Cook (nee Brummy)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far right back row husband (Jack Cook – initiated name Muligat lightning) with family</w:t>
      </w:r>
    </w:p>
    <w:p w:rsidR="00626779" w:rsidRPr="00626779" w:rsidRDefault="00626779" w:rsidP="00626779">
      <w:pPr>
        <w:jc w:val="cente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By Luke Russell </w:t>
      </w:r>
      <w:r w:rsidRPr="00626779">
        <w:rPr>
          <w:rFonts w:ascii="inherit" w:eastAsia="Times New Roman" w:hAnsi="inherit" w:cs="Arial"/>
          <w:b/>
          <w:bCs/>
          <w:color w:val="201F1E"/>
          <w:sz w:val="20"/>
          <w:szCs w:val="20"/>
          <w:bdr w:val="none" w:sz="0" w:space="0" w:color="auto" w:frame="1"/>
          <w:lang w:eastAsia="en-GB"/>
        </w:rPr>
        <w:t>and</w:t>
      </w:r>
      <w:r w:rsidRPr="00626779">
        <w:rPr>
          <w:rFonts w:ascii="Arial" w:eastAsia="Times New Roman" w:hAnsi="Arial" w:cs="Arial"/>
          <w:b/>
          <w:bCs/>
          <w:color w:val="201F1E"/>
          <w:sz w:val="20"/>
          <w:szCs w:val="20"/>
          <w:bdr w:val="none" w:sz="0" w:space="0" w:color="auto" w:frame="1"/>
          <w:lang w:eastAsia="en-GB"/>
        </w:rPr>
        <w:t> Robert Syron</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Guringai, people are the traditional custodians of the land between the Hunter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Manning Rivers, from the ocean to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including the Great Dividing Range. A saltwater people whose land extended inland as far as the salt pushed. From modern day Newcastle to Singleton, on the northern side of the Hunter, through the Barrington’s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back down the Manning to the ocean. This is traditional Guringai country. Bordering the Birripai speaking people of the north, the Awabakal people to the south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Wannarua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Kamilaroi people to the west.</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Descending from one of the four traditional nations of our language group, we have continued the strong connection to our old people, our old ways, our country, our language, our stories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our kinship. Traditionally our language group encompassed the lands between the Hawkesbury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Hastings, the ocean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mountain ranges. Our ceremonial, kinship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marriage ties would take us further into the northern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southern bordering language groups.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Gringai, Worimai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Biripai are language dialects of the traditional custodians. Thankfully our language is well recorded with over 6,000 words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importantly voice recordings over an extended time. From the early 1800’s to the 1970’s various recordings were taken from Port Stephens, Gresford, Taree, Port Macquarie, the upper Manning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Barrington’s. Allowing us to re-awaken our traditional dialects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speak the language of our old people.</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Our stories lines connect us to the four corners of our language group, tying us to our surrounding nations, the country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sea. We have been fortunate to have our traditional stories passed down through the generations, in turn we are now privileged in maintaining our connection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most importantly we keep our old people alive by doing so.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respect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gratitude to all of our old people who have gone before us is of the utmost importance to us. For if it wasn’t for all those people playing their role’s, we wouldn’t be in the position we are in today. Being able to continue all of their amazing stories.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We are the only kuringai, Kuring-gai, Cooringay, Guringai, Gooreeggai, Goreenggai, Gourenggai, Gingai, Gooreenggai, Gringai, Corringorri, Guringay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Goringai People.</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My name is </w:t>
      </w:r>
      <w:r w:rsidRPr="00626779">
        <w:rPr>
          <w:rFonts w:ascii="inherit" w:eastAsia="Times New Roman" w:hAnsi="inherit" w:cs="Arial"/>
          <w:color w:val="201F1E"/>
          <w:sz w:val="20"/>
          <w:szCs w:val="20"/>
          <w:bdr w:val="none" w:sz="0" w:space="0" w:color="auto" w:frame="1"/>
          <w:lang w:eastAsia="en-GB"/>
        </w:rPr>
        <w:t>Bob</w:t>
      </w:r>
      <w:r w:rsidRPr="00626779">
        <w:rPr>
          <w:rFonts w:ascii="Arial" w:eastAsia="Times New Roman" w:hAnsi="Arial" w:cs="Arial"/>
          <w:color w:val="201F1E"/>
          <w:sz w:val="20"/>
          <w:szCs w:val="20"/>
          <w:bdr w:val="none" w:sz="0" w:space="0" w:color="auto" w:frame="1"/>
          <w:lang w:eastAsia="en-GB"/>
        </w:rPr>
        <w:t> Syron Born 1965 Registered Aboriginal Owner of Worimi conservation lands Port Stephens Guringai language group. kabook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Watoo people </w:t>
      </w:r>
      <w:hyperlink r:id="rId5" w:tgtFrame="_blank" w:history="1">
        <w:r w:rsidRPr="00626779">
          <w:rPr>
            <w:rFonts w:ascii="Arial" w:eastAsia="Times New Roman" w:hAnsi="Arial" w:cs="Arial"/>
            <w:color w:val="0000FF"/>
            <w:sz w:val="20"/>
            <w:szCs w:val="20"/>
            <w:u w:val="single"/>
            <w:bdr w:val="none" w:sz="0" w:space="0" w:color="auto" w:frame="1"/>
            <w:lang w:eastAsia="en-GB"/>
          </w:rPr>
          <w:t>https://hunterlivinghistories.com/2018/08/15/the-kabook-watoo/</w:t>
        </w:r>
      </w:hyperlink>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I am a descendant of the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Clarke family’s.My Aboriginal grandmother, was Eileen May Syron (Nee Cook) Born 1911 on the Barrington River NSW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was the granddaughter of Muligat- Lightning- AKA - Jack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Jessie Cook- Nee Brummy.</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lastRenderedPageBreak/>
        <w:t>My Aboriginal Grandfather was Robert J Syron Born 1901 grandson of Robert Clarke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Susanna Clarke-Nee Mayers Manning River Forster NSW. Robert J Syron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Eileen May Syron together they had 16 children.</w:t>
      </w:r>
    </w:p>
    <w:p w:rsidR="00626779" w:rsidRPr="00626779" w:rsidRDefault="00626779" w:rsidP="00626779">
      <w:pPr>
        <w:rPr>
          <w:rFonts w:ascii="Calibri" w:eastAsia="Times New Roman" w:hAnsi="Calibri" w:cs="Calibri"/>
          <w:color w:val="201F1E"/>
          <w:sz w:val="22"/>
          <w:szCs w:val="22"/>
          <w:lang w:eastAsia="en-GB"/>
        </w:rPr>
      </w:pPr>
      <w:r w:rsidRPr="00626779">
        <w:rPr>
          <w:rFonts w:ascii="inherit" w:eastAsia="Times New Roman" w:hAnsi="inherit" w:cs="Calibri"/>
          <w:color w:val="888888"/>
          <w:bdr w:val="none" w:sz="0" w:space="0" w:color="auto" w:frame="1"/>
          <w:lang w:val="en-US"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noProof/>
        </w:rPr>
        <w:drawing>
          <wp:inline distT="0" distB="0" distL="0" distR="0">
            <wp:extent cx="3822700" cy="2895600"/>
            <wp:effectExtent l="0" t="0" r="0" b="0"/>
            <wp:docPr id="1" name="Picture 1" descr="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2895600"/>
                    </a:xfrm>
                    <a:prstGeom prst="rect">
                      <a:avLst/>
                    </a:prstGeom>
                    <a:noFill/>
                    <a:ln>
                      <a:noFill/>
                    </a:ln>
                  </pic:spPr>
                </pic:pic>
              </a:graphicData>
            </a:graphic>
          </wp:inline>
        </w:drawing>
      </w:r>
    </w:p>
    <w:p w:rsidR="00626779" w:rsidRPr="00626779" w:rsidRDefault="00626779" w:rsidP="00626779">
      <w:pPr>
        <w:rPr>
          <w:rFonts w:ascii="Calibri" w:eastAsia="Times New Roman" w:hAnsi="Calibri" w:cs="Calibri"/>
          <w:color w:val="201F1E"/>
          <w:sz w:val="22"/>
          <w:szCs w:val="22"/>
          <w:lang w:eastAsia="en-GB"/>
        </w:rPr>
      </w:pPr>
      <w:r w:rsidRPr="00626779">
        <w:rPr>
          <w:rFonts w:ascii="inherit" w:eastAsia="Times New Roman" w:hAnsi="inherit" w:cs="Calibri"/>
          <w:color w:val="201F1E"/>
          <w:bdr w:val="none" w:sz="0" w:space="0" w:color="auto" w:frame="1"/>
          <w:lang w:val="en-US" w:eastAsia="en-GB"/>
        </w:rPr>
        <w:t>Gloucester Billabong Park memorial NSW</w:t>
      </w:r>
    </w:p>
    <w:p w:rsidR="00626779" w:rsidRPr="00626779" w:rsidRDefault="00626779" w:rsidP="00626779">
      <w:pPr>
        <w:rPr>
          <w:rFonts w:ascii="Times New Roman" w:eastAsia="Times New Roman" w:hAnsi="Times New Roman" w:cs="Times New Roman"/>
          <w:lang w:eastAsia="en-GB"/>
        </w:rPr>
      </w:pP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40"/>
          <w:szCs w:val="40"/>
          <w:bdr w:val="none" w:sz="0" w:space="0" w:color="auto" w:frame="1"/>
          <w:lang w:eastAsia="en-GB"/>
        </w:rPr>
        <w:t>Guringai History</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bdr w:val="none" w:sz="0" w:space="0" w:color="auto" w:frame="1"/>
          <w:lang w:eastAsia="en-GB"/>
        </w:rPr>
        <w:t>Spelling variations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Boydell, R. H. Mathews</w:t>
      </w:r>
      <w:r w:rsidRPr="00626779">
        <w:rPr>
          <w:rFonts w:ascii="Arial" w:eastAsia="Times New Roman" w:hAnsi="Arial" w:cs="Arial"/>
          <w:color w:val="201F1E"/>
          <w:sz w:val="20"/>
          <w:szCs w:val="20"/>
          <w:bdr w:val="none" w:sz="0" w:space="0" w:color="auto" w:frame="1"/>
          <w:lang w:eastAsia="en-GB"/>
        </w:rPr>
        <w:t> - Gooringgai, William Scott – Gringai, </w:t>
      </w:r>
      <w:r w:rsidRPr="00626779">
        <w:rPr>
          <w:rFonts w:ascii="Arial" w:eastAsia="Times New Roman" w:hAnsi="Arial" w:cs="Arial"/>
          <w:b/>
          <w:bCs/>
          <w:color w:val="201F1E"/>
          <w:sz w:val="20"/>
          <w:szCs w:val="20"/>
          <w:bdr w:val="none" w:sz="0" w:space="0" w:color="auto" w:frame="1"/>
          <w:lang w:eastAsia="en-GB"/>
        </w:rPr>
        <w:t>John Fraser - </w:t>
      </w:r>
      <w:r w:rsidRPr="00626779">
        <w:rPr>
          <w:rFonts w:ascii="Arial" w:eastAsia="Times New Roman" w:hAnsi="Arial" w:cs="Arial"/>
          <w:color w:val="201F1E"/>
          <w:sz w:val="20"/>
          <w:szCs w:val="20"/>
          <w:bdr w:val="none" w:sz="0" w:space="0" w:color="auto" w:frame="1"/>
          <w:lang w:eastAsia="en-GB"/>
        </w:rPr>
        <w:t>Goringai, Kuringgai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Kurig-gai. Other spellings, Cooringay, Guringai, Gooreeggai, Goreenggai, Gourenggai, Gingai, Gooreenggai, Gringai, Corringorri,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t>
      </w:r>
      <w:r w:rsidRPr="00626779">
        <w:rPr>
          <w:rFonts w:ascii="Arial" w:eastAsia="Times New Roman" w:hAnsi="Arial" w:cs="Arial"/>
          <w:b/>
          <w:bCs/>
          <w:color w:val="201F1E"/>
          <w:sz w:val="20"/>
          <w:szCs w:val="20"/>
          <w:bdr w:val="none" w:sz="0" w:space="0" w:color="auto" w:frame="1"/>
          <w:lang w:eastAsia="en-GB"/>
        </w:rPr>
        <w:t>Amanda Lissarrague- </w:t>
      </w:r>
      <w:r w:rsidRPr="00626779">
        <w:rPr>
          <w:rFonts w:ascii="Arial" w:eastAsia="Times New Roman" w:hAnsi="Arial" w:cs="Arial"/>
          <w:color w:val="201F1E"/>
          <w:sz w:val="20"/>
          <w:szCs w:val="20"/>
          <w:bdr w:val="none" w:sz="0" w:space="0" w:color="auto" w:frame="1"/>
          <w:lang w:eastAsia="en-GB"/>
        </w:rPr>
        <w:t>Guringay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 </w:t>
      </w:r>
    </w:p>
    <w:p w:rsidR="00626779" w:rsidRPr="00626779" w:rsidRDefault="00626779" w:rsidP="00626779">
      <w:pPr>
        <w:jc w:val="center"/>
        <w:rPr>
          <w:rFonts w:ascii="Calibri" w:eastAsia="Times New Roman" w:hAnsi="Calibri" w:cs="Calibri"/>
          <w:color w:val="201F1E"/>
          <w:sz w:val="22"/>
          <w:szCs w:val="22"/>
          <w:lang w:eastAsia="en-GB"/>
        </w:rPr>
      </w:pPr>
      <w:r w:rsidRPr="00626779">
        <w:rPr>
          <w:noProof/>
        </w:rPr>
        <w:drawing>
          <wp:inline distT="0" distB="0" distL="0" distR="0">
            <wp:extent cx="2724150" cy="1797050"/>
            <wp:effectExtent l="0" t="0" r="6350" b="6350"/>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797050"/>
                    </a:xfrm>
                    <a:prstGeom prst="rect">
                      <a:avLst/>
                    </a:prstGeom>
                    <a:noFill/>
                    <a:ln>
                      <a:noFill/>
                    </a:ln>
                  </pic:spPr>
                </pic:pic>
              </a:graphicData>
            </a:graphic>
          </wp:inline>
        </w:drawing>
      </w:r>
    </w:p>
    <w:p w:rsidR="00626779" w:rsidRPr="00626779" w:rsidRDefault="00626779" w:rsidP="00626779">
      <w:pPr>
        <w:jc w:val="cente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Brummy Family around 1890 Barrington NSW Aboriginal camp Photo back row left is wife Jessie Cook (nee Brummy)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far right back row husband (Jack Cook – initiated name Muligat lightning) with family</w:t>
      </w:r>
    </w:p>
    <w:p w:rsidR="00626779" w:rsidRPr="00626779" w:rsidRDefault="00626779" w:rsidP="00626779">
      <w:pPr>
        <w:jc w:val="center"/>
        <w:rPr>
          <w:rFonts w:ascii="Calibri" w:eastAsia="Times New Roman" w:hAnsi="Calibri" w:cs="Calibri"/>
          <w:color w:val="201F1E"/>
          <w:sz w:val="22"/>
          <w:szCs w:val="22"/>
          <w:lang w:eastAsia="en-GB"/>
        </w:rPr>
      </w:pPr>
      <w:r w:rsidRPr="00626779">
        <w:rPr>
          <w:rFonts w:ascii="Arial" w:eastAsia="Times New Roman" w:hAnsi="Arial" w:cs="Arial"/>
          <w:b/>
          <w:bCs/>
          <w:color w:val="201F1E"/>
          <w:sz w:val="20"/>
          <w:szCs w:val="20"/>
          <w:bdr w:val="none" w:sz="0" w:space="0" w:color="auto" w:frame="1"/>
          <w:lang w:eastAsia="en-GB"/>
        </w:rPr>
        <w:t>By Luke Russell </w:t>
      </w:r>
      <w:r w:rsidRPr="00626779">
        <w:rPr>
          <w:rFonts w:ascii="inherit" w:eastAsia="Times New Roman" w:hAnsi="inherit" w:cs="Arial"/>
          <w:b/>
          <w:bCs/>
          <w:color w:val="201F1E"/>
          <w:sz w:val="20"/>
          <w:szCs w:val="20"/>
          <w:bdr w:val="none" w:sz="0" w:space="0" w:color="auto" w:frame="1"/>
          <w:lang w:eastAsia="en-GB"/>
        </w:rPr>
        <w:t>and</w:t>
      </w:r>
      <w:r w:rsidRPr="00626779">
        <w:rPr>
          <w:rFonts w:ascii="Arial" w:eastAsia="Times New Roman" w:hAnsi="Arial" w:cs="Arial"/>
          <w:b/>
          <w:bCs/>
          <w:color w:val="201F1E"/>
          <w:sz w:val="20"/>
          <w:szCs w:val="20"/>
          <w:bdr w:val="none" w:sz="0" w:space="0" w:color="auto" w:frame="1"/>
          <w:lang w:eastAsia="en-GB"/>
        </w:rPr>
        <w:t> Robert Syron</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Guringai, people are the traditional custodians of the land between the Hunter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Manning Rivers, from the ocean to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including the Great Dividing Range. A saltwater people whose land extended inland as far as the salt pushed. From modern day Newcastle to Singleton, on the northern side of the Hunter, through the Barrington’s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back down the Manning to the ocean. This is traditional Guringai country. Bordering the Birripai speaking people of the north, the Awabakal people to the south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Wannarua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Kamilaroi people to the west.</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Descending from one of the four traditional nations of our language group, we have continued the strong connection to our old people, our old ways, our country, our language, our stories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xml:space="preserve"> our kinship. Traditionally our language group encompassed the lands between the </w:t>
      </w:r>
      <w:r w:rsidRPr="00626779">
        <w:rPr>
          <w:rFonts w:ascii="Arial" w:eastAsia="Times New Roman" w:hAnsi="Arial" w:cs="Arial"/>
          <w:color w:val="201F1E"/>
          <w:sz w:val="20"/>
          <w:szCs w:val="20"/>
          <w:bdr w:val="none" w:sz="0" w:space="0" w:color="auto" w:frame="1"/>
          <w:lang w:eastAsia="en-GB"/>
        </w:rPr>
        <w:lastRenderedPageBreak/>
        <w:t>Hawkesbury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Hastings, the ocean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mountain ranges. Our ceremonial, kinship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marriage ties would take us further into the northern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southern bordering language groups.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Gringai, Worimai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Biripai are language dialects of the traditional custodians. Thankfully our language is well recorded with over 6,000 words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importantly voice recordings over an extended time. From the early 1800’s to the 1970’s various recordings were taken from Port Stephens, Gresford, Taree, Port Macquarie, the upper Manning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the Barrington’s. Allowing us to re-awaken our traditional dialects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speak the language of our old people.</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Our stories lines connect us to the four corners of our language group, tying us to our surrounding nations, the country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sea. We have been fortunate to have our traditional stories passed down through the generations, in turn we are now privileged in maintaining our connection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most importantly we keep our old people alive by doing so.  </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The respect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gratitude to all of our old people who have gone before us is of the utmost importance to us. For if it wasn’t for all those people playing their role’s, we wouldn’t be in the position we are in today. Being able to continue all of their amazing stories.</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We are the only kuringai, Kuring-gai, Cooringay, Guringai, Gooreeggai, Goreenggai, Gourenggai, Gingai, Gooreenggai, Gringai, Corringorri, Guringay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Goringai People.</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My name is </w:t>
      </w:r>
      <w:r w:rsidRPr="00626779">
        <w:rPr>
          <w:rFonts w:ascii="inherit" w:eastAsia="Times New Roman" w:hAnsi="inherit" w:cs="Arial"/>
          <w:color w:val="201F1E"/>
          <w:sz w:val="20"/>
          <w:szCs w:val="20"/>
          <w:bdr w:val="none" w:sz="0" w:space="0" w:color="auto" w:frame="1"/>
          <w:lang w:eastAsia="en-GB"/>
        </w:rPr>
        <w:t>Bob</w:t>
      </w:r>
      <w:r w:rsidRPr="00626779">
        <w:rPr>
          <w:rFonts w:ascii="Arial" w:eastAsia="Times New Roman" w:hAnsi="Arial" w:cs="Arial"/>
          <w:color w:val="201F1E"/>
          <w:sz w:val="20"/>
          <w:szCs w:val="20"/>
          <w:bdr w:val="none" w:sz="0" w:space="0" w:color="auto" w:frame="1"/>
          <w:lang w:eastAsia="en-GB"/>
        </w:rPr>
        <w:t> Syron Born 1965 Registered Aboriginal Owner of Worimi conservation lands Port Stephens Guringai language group. kabook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Watoo people </w:t>
      </w:r>
      <w:hyperlink r:id="rId7" w:tgtFrame="_blank" w:history="1">
        <w:r w:rsidRPr="00626779">
          <w:rPr>
            <w:rFonts w:ascii="Arial" w:eastAsia="Times New Roman" w:hAnsi="Arial" w:cs="Arial"/>
            <w:color w:val="0000FF"/>
            <w:sz w:val="20"/>
            <w:szCs w:val="20"/>
            <w:u w:val="single"/>
            <w:bdr w:val="none" w:sz="0" w:space="0" w:color="auto" w:frame="1"/>
            <w:lang w:eastAsia="en-GB"/>
          </w:rPr>
          <w:t>https://hunterlivinghistories.com/2018/08/15/the-kabook-watoo/</w:t>
        </w:r>
      </w:hyperlink>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I am a descendant of the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Clarke family’s.My Aboriginal grandmother, was Eileen May Syron (Nee Cook) Born 1911 on the Barrington River NSW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was the granddaughter of Muligat- Lightning- AKA - Jack Cook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Jessie Cook- Nee Brummy.</w:t>
      </w:r>
    </w:p>
    <w:p w:rsidR="00626779" w:rsidRPr="00626779" w:rsidRDefault="00626779" w:rsidP="00626779">
      <w:pPr>
        <w:rPr>
          <w:rFonts w:ascii="Calibri" w:eastAsia="Times New Roman" w:hAnsi="Calibri" w:cs="Calibri"/>
          <w:color w:val="201F1E"/>
          <w:sz w:val="22"/>
          <w:szCs w:val="22"/>
          <w:lang w:eastAsia="en-GB"/>
        </w:rPr>
      </w:pPr>
      <w:r w:rsidRPr="00626779">
        <w:rPr>
          <w:rFonts w:ascii="Arial" w:eastAsia="Times New Roman" w:hAnsi="Arial" w:cs="Arial"/>
          <w:color w:val="201F1E"/>
          <w:sz w:val="20"/>
          <w:szCs w:val="20"/>
          <w:bdr w:val="none" w:sz="0" w:space="0" w:color="auto" w:frame="1"/>
          <w:lang w:eastAsia="en-GB"/>
        </w:rPr>
        <w:t>My Aboriginal Grandfather was Robert J Syron Born 1901 grandson of Robert Clarke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Susanna Clarke-Nee Mayers Manning River Forster NSW. Robert J Syron </w:t>
      </w:r>
      <w:r w:rsidRPr="00626779">
        <w:rPr>
          <w:rFonts w:ascii="inherit" w:eastAsia="Times New Roman" w:hAnsi="inherit" w:cs="Arial"/>
          <w:color w:val="201F1E"/>
          <w:sz w:val="20"/>
          <w:szCs w:val="20"/>
          <w:bdr w:val="none" w:sz="0" w:space="0" w:color="auto" w:frame="1"/>
          <w:lang w:eastAsia="en-GB"/>
        </w:rPr>
        <w:t>and</w:t>
      </w:r>
      <w:r w:rsidRPr="00626779">
        <w:rPr>
          <w:rFonts w:ascii="Arial" w:eastAsia="Times New Roman" w:hAnsi="Arial" w:cs="Arial"/>
          <w:color w:val="201F1E"/>
          <w:sz w:val="20"/>
          <w:szCs w:val="20"/>
          <w:bdr w:val="none" w:sz="0" w:space="0" w:color="auto" w:frame="1"/>
          <w:lang w:eastAsia="en-GB"/>
        </w:rPr>
        <w:t> Eileen May Syron together they had 16 children.</w:t>
      </w:r>
    </w:p>
    <w:p w:rsidR="00626779" w:rsidRPr="00626779" w:rsidRDefault="00626779" w:rsidP="00626779">
      <w:pPr>
        <w:rPr>
          <w:rFonts w:ascii="Calibri" w:eastAsia="Times New Roman" w:hAnsi="Calibri" w:cs="Calibri"/>
          <w:color w:val="201F1E"/>
          <w:sz w:val="22"/>
          <w:szCs w:val="22"/>
          <w:lang w:eastAsia="en-GB"/>
        </w:rPr>
      </w:pPr>
      <w:r w:rsidRPr="00626779">
        <w:rPr>
          <w:rFonts w:ascii="inherit" w:eastAsia="Times New Roman" w:hAnsi="inherit" w:cs="Calibri"/>
          <w:color w:val="888888"/>
          <w:bdr w:val="none" w:sz="0" w:space="0" w:color="auto" w:frame="1"/>
          <w:lang w:val="en-US" w:eastAsia="en-GB"/>
        </w:rPr>
        <w:t> </w:t>
      </w:r>
    </w:p>
    <w:p w:rsidR="00626779" w:rsidRPr="00626779" w:rsidRDefault="00626779" w:rsidP="00626779">
      <w:pPr>
        <w:rPr>
          <w:rFonts w:ascii="Calibri" w:eastAsia="Times New Roman" w:hAnsi="Calibri" w:cs="Calibri"/>
          <w:color w:val="201F1E"/>
          <w:sz w:val="22"/>
          <w:szCs w:val="22"/>
          <w:lang w:eastAsia="en-GB"/>
        </w:rPr>
      </w:pPr>
      <w:r w:rsidRPr="00626779">
        <w:rPr>
          <w:noProof/>
        </w:rPr>
        <w:drawing>
          <wp:inline distT="0" distB="0" distL="0" distR="0">
            <wp:extent cx="3822700" cy="2895600"/>
            <wp:effectExtent l="0" t="0" r="0" b="0"/>
            <wp:docPr id="3" name="Picture 3" descr="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2895600"/>
                    </a:xfrm>
                    <a:prstGeom prst="rect">
                      <a:avLst/>
                    </a:prstGeom>
                    <a:noFill/>
                    <a:ln>
                      <a:noFill/>
                    </a:ln>
                  </pic:spPr>
                </pic:pic>
              </a:graphicData>
            </a:graphic>
          </wp:inline>
        </w:drawing>
      </w:r>
    </w:p>
    <w:p w:rsidR="00626779" w:rsidRPr="00626779" w:rsidRDefault="00626779" w:rsidP="00626779">
      <w:pPr>
        <w:rPr>
          <w:rFonts w:ascii="Calibri" w:eastAsia="Times New Roman" w:hAnsi="Calibri" w:cs="Calibri"/>
          <w:color w:val="201F1E"/>
          <w:sz w:val="22"/>
          <w:szCs w:val="22"/>
          <w:lang w:eastAsia="en-GB"/>
        </w:rPr>
      </w:pPr>
      <w:r w:rsidRPr="00626779">
        <w:rPr>
          <w:rFonts w:ascii="inherit" w:eastAsia="Times New Roman" w:hAnsi="inherit" w:cs="Calibri"/>
          <w:color w:val="201F1E"/>
          <w:bdr w:val="none" w:sz="0" w:space="0" w:color="auto" w:frame="1"/>
          <w:lang w:val="en-US" w:eastAsia="en-GB"/>
        </w:rPr>
        <w:t>Gloucester Billabong Park memorial NSW</w:t>
      </w:r>
    </w:p>
    <w:p w:rsidR="00626779" w:rsidRPr="00626779" w:rsidRDefault="00626779" w:rsidP="00626779">
      <w:pPr>
        <w:rPr>
          <w:rFonts w:ascii="Times New Roman" w:eastAsia="Times New Roman" w:hAnsi="Times New Roman" w:cs="Times New Roman"/>
          <w:lang w:eastAsia="en-GB"/>
        </w:rPr>
      </w:pPr>
    </w:p>
    <w:p w:rsidR="00F61DD2" w:rsidRDefault="00626779"/>
    <w:sectPr w:rsidR="00F61DD2" w:rsidSect="00FC4D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79"/>
    <w:rsid w:val="000E4AE9"/>
    <w:rsid w:val="001C03FD"/>
    <w:rsid w:val="00203DE1"/>
    <w:rsid w:val="002F56AD"/>
    <w:rsid w:val="00312AB2"/>
    <w:rsid w:val="00626779"/>
    <w:rsid w:val="006A5735"/>
    <w:rsid w:val="00752E03"/>
    <w:rsid w:val="007C63BB"/>
    <w:rsid w:val="008744D2"/>
    <w:rsid w:val="00A00F8C"/>
    <w:rsid w:val="00D879A7"/>
    <w:rsid w:val="00FC4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1EA74C-7897-FA44-A2D3-1E137B6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77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26779"/>
  </w:style>
  <w:style w:type="character" w:customStyle="1" w:styleId="markefzzkm9e2">
    <w:name w:val="markefzzkm9e2"/>
    <w:basedOn w:val="DefaultParagraphFont"/>
    <w:rsid w:val="00626779"/>
  </w:style>
  <w:style w:type="character" w:customStyle="1" w:styleId="markg8k0qdira">
    <w:name w:val="markg8k0qdira"/>
    <w:basedOn w:val="DefaultParagraphFont"/>
    <w:rsid w:val="00626779"/>
  </w:style>
  <w:style w:type="character" w:styleId="Hyperlink">
    <w:name w:val="Hyperlink"/>
    <w:basedOn w:val="DefaultParagraphFont"/>
    <w:uiPriority w:val="99"/>
    <w:semiHidden/>
    <w:unhideWhenUsed/>
    <w:rsid w:val="006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00805">
      <w:bodyDiv w:val="1"/>
      <w:marLeft w:val="0"/>
      <w:marRight w:val="0"/>
      <w:marTop w:val="0"/>
      <w:marBottom w:val="0"/>
      <w:divBdr>
        <w:top w:val="none" w:sz="0" w:space="0" w:color="auto"/>
        <w:left w:val="none" w:sz="0" w:space="0" w:color="auto"/>
        <w:bottom w:val="none" w:sz="0" w:space="0" w:color="auto"/>
        <w:right w:val="none" w:sz="0" w:space="0" w:color="auto"/>
      </w:divBdr>
    </w:div>
    <w:div w:id="10711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nterlivinghistories.com/2018/08/15/the-kabook-wato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hunterlivinghistories.com/2018/08/15/the-kabook-wato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read</dc:creator>
  <cp:keywords/>
  <dc:description/>
  <cp:lastModifiedBy>peter read</cp:lastModifiedBy>
  <cp:revision>1</cp:revision>
  <dcterms:created xsi:type="dcterms:W3CDTF">2020-06-24T06:22:00Z</dcterms:created>
  <dcterms:modified xsi:type="dcterms:W3CDTF">2020-06-24T06:23:00Z</dcterms:modified>
</cp:coreProperties>
</file>